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FEF0" w14:textId="72303D3F" w:rsidR="005454FC" w:rsidRDefault="009107D4" w:rsidP="009107D4">
      <w:pPr>
        <w:rPr>
          <w:i/>
          <w:iCs/>
        </w:rPr>
      </w:pPr>
      <w:r w:rsidRPr="00882075">
        <w:rPr>
          <w:b/>
          <w:bCs/>
          <w:sz w:val="28"/>
          <w:szCs w:val="28"/>
        </w:rPr>
        <w:t>Fostering Excellence in Heme/Onc Fellowship</w:t>
      </w:r>
      <w:r w:rsidRPr="009107D4">
        <w:br/>
      </w:r>
      <w:r w:rsidRPr="009107D4">
        <w:rPr>
          <w:i/>
          <w:iCs/>
        </w:rPr>
        <w:t>Integrating Growth Mindset, Grit, and Evidence-Based Educational Innovations</w:t>
      </w:r>
    </w:p>
    <w:p w14:paraId="40043D8F" w14:textId="3FAA7FB7" w:rsidR="00DC791A" w:rsidRPr="00620572" w:rsidRDefault="00DC791A" w:rsidP="009107D4">
      <w:r>
        <w:rPr>
          <w:b/>
          <w:bCs/>
          <w:noProof/>
        </w:rPr>
        <mc:AlternateContent>
          <mc:Choice Requires="wps">
            <w:drawing>
              <wp:anchor distT="0" distB="0" distL="114300" distR="114300" simplePos="0" relativeHeight="251659264" behindDoc="0" locked="0" layoutInCell="1" allowOverlap="1" wp14:anchorId="196B451B" wp14:editId="527D4FF6">
                <wp:simplePos x="0" y="0"/>
                <wp:positionH relativeFrom="margin">
                  <wp:posOffset>-10583</wp:posOffset>
                </wp:positionH>
                <wp:positionV relativeFrom="paragraph">
                  <wp:posOffset>20004</wp:posOffset>
                </wp:positionV>
                <wp:extent cx="5149850" cy="25715"/>
                <wp:effectExtent l="19050" t="19050" r="31750" b="31750"/>
                <wp:wrapNone/>
                <wp:docPr id="1281052468" name="Straight Connector 1"/>
                <wp:cNvGraphicFramePr/>
                <a:graphic xmlns:a="http://schemas.openxmlformats.org/drawingml/2006/main">
                  <a:graphicData uri="http://schemas.microsoft.com/office/word/2010/wordprocessingShape">
                    <wps:wsp>
                      <wps:cNvCnPr/>
                      <wps:spPr>
                        <a:xfrm flipV="1">
                          <a:off x="0" y="0"/>
                          <a:ext cx="5149850" cy="25715"/>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7E5F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1.6pt" to="404.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" strokecolor="red" strokeweight="3pt">
                <v:stroke joinstyle="miter"/>
                <w10:wrap anchorx="margin"/>
              </v:line>
            </w:pict>
          </mc:Fallback>
        </mc:AlternateContent>
      </w:r>
    </w:p>
    <w:p w14:paraId="48235ACA" w14:textId="727CAAD2" w:rsidR="00CA35D8" w:rsidRDefault="00CA35D8" w:rsidP="00620572">
      <w:pPr>
        <w:spacing w:after="0" w:line="240" w:lineRule="auto"/>
      </w:pPr>
      <w:r w:rsidRPr="00620572">
        <w:t>First, we need to start with the learner, and in our case, the hematology/oncology fellow, by helping them build confidence in their clinical judgment, knowledge base, and ability to grow. When fellows believe in themselves, their internal confidence expands alongside a growth mindset, the understanding that advanced clinical expertise develops over time through deliberate practice, feedback, and learning from mistakes. In a field as complex and rapidly evolving as heme/</w:t>
      </w:r>
      <w:proofErr w:type="spellStart"/>
      <w:r w:rsidRPr="00620572">
        <w:t>onc</w:t>
      </w:r>
      <w:proofErr w:type="spellEnd"/>
      <w:r w:rsidRPr="00620572">
        <w:t>, a growth mindset is essential; no one arrives knowing how to manage every leukemia induction, recognize every rare mutation, or navigate difficult prognostic conversations on day one.</w:t>
      </w:r>
    </w:p>
    <w:p w14:paraId="35BEF42F" w14:textId="77777777" w:rsidR="00620572" w:rsidRPr="00620572" w:rsidRDefault="00620572" w:rsidP="00620572">
      <w:pPr>
        <w:spacing w:after="0" w:line="240" w:lineRule="auto"/>
      </w:pPr>
    </w:p>
    <w:p w14:paraId="0F5EE5E8" w14:textId="2BB565CB" w:rsidR="00CA35D8" w:rsidRDefault="00CA35D8" w:rsidP="00620572">
      <w:pPr>
        <w:spacing w:after="0" w:line="240" w:lineRule="auto"/>
      </w:pPr>
      <w:r w:rsidRPr="00620572">
        <w:t xml:space="preserve">As an </w:t>
      </w:r>
      <w:r w:rsidR="003B5B5E" w:rsidRPr="00620572">
        <w:t>administrator</w:t>
      </w:r>
      <w:r w:rsidRPr="00620572">
        <w:t xml:space="preserve">, I believe it is important </w:t>
      </w:r>
      <w:r w:rsidR="003B5B5E" w:rsidRPr="00620572">
        <w:t>the faculty</w:t>
      </w:r>
      <w:r w:rsidRPr="00620572">
        <w:t xml:space="preserve"> share </w:t>
      </w:r>
      <w:r w:rsidR="003B5B5E" w:rsidRPr="00620572">
        <w:t>their</w:t>
      </w:r>
      <w:r w:rsidRPr="00620572">
        <w:t xml:space="preserve"> own experiences of struggling with challenging material</w:t>
      </w:r>
      <w:r w:rsidR="003B5B5E" w:rsidRPr="00620572">
        <w:t>, w</w:t>
      </w:r>
      <w:r w:rsidRPr="00620572">
        <w:t>hether it was interpreting flow cytometry, remembering treatment sequences, or understanding the nuances of clinical trials. Modeling vulnerability demonstrates to fellows that expertise is earned, not innate, and that mastery in hematology/oncology comes only with practice, repetition, and reflection. There is absolutely no shame in saying “I don’t know” or “I don’t understand yet.” In fact, those phrases reflect intellectual honesty and the mindset of a safe, high-functioning clinical team.</w:t>
      </w:r>
    </w:p>
    <w:p w14:paraId="1EAC66AC" w14:textId="77777777" w:rsidR="00620572" w:rsidRPr="00620572" w:rsidRDefault="00620572" w:rsidP="00620572">
      <w:pPr>
        <w:spacing w:after="0" w:line="240" w:lineRule="auto"/>
      </w:pPr>
    </w:p>
    <w:p w14:paraId="46A6A5AF" w14:textId="0BCA55B7" w:rsidR="00CA35D8" w:rsidRPr="00620572" w:rsidRDefault="003B5B5E" w:rsidP="00620572">
      <w:pPr>
        <w:spacing w:after="0" w:line="240" w:lineRule="auto"/>
      </w:pPr>
      <w:r w:rsidRPr="00620572">
        <w:t>N</w:t>
      </w:r>
      <w:r w:rsidR="00CA35D8" w:rsidRPr="00620572">
        <w:t xml:space="preserve">o fellow </w:t>
      </w:r>
      <w:r w:rsidRPr="00620572">
        <w:t>should</w:t>
      </w:r>
      <w:r w:rsidR="00CA35D8" w:rsidRPr="00620572">
        <w:t xml:space="preserve"> feel embarrassed by not knowing an answer, especially in a field </w:t>
      </w:r>
      <w:proofErr w:type="gramStart"/>
      <w:r w:rsidR="00CA35D8" w:rsidRPr="00620572">
        <w:t>where</w:t>
      </w:r>
      <w:proofErr w:type="gramEnd"/>
      <w:r w:rsidR="00CA35D8" w:rsidRPr="00620572">
        <w:t xml:space="preserve"> medicine changes daily. All fellows deserve positive reinforcement, constructive feedback, and a supportive learning environment that views questions, uncertainty, and clinical complexity as natural parts of professional growth. By normalizing these experiences, we empower fellows to push themselves, build resilience, and ultimately become compassionate, competent oncologists.</w:t>
      </w:r>
    </w:p>
    <w:p w14:paraId="5285B191" w14:textId="77777777" w:rsidR="00CA35D8" w:rsidRPr="00620572" w:rsidRDefault="00CA35D8" w:rsidP="00620572">
      <w:pPr>
        <w:spacing w:after="0" w:line="240" w:lineRule="auto"/>
      </w:pPr>
    </w:p>
    <w:p w14:paraId="3BC82528" w14:textId="056E0C6F" w:rsidR="005C3882" w:rsidRDefault="005C3882" w:rsidP="00620572">
      <w:pPr>
        <w:spacing w:after="0" w:line="240" w:lineRule="auto"/>
      </w:pPr>
      <w:r w:rsidRPr="00620572">
        <w:t>“Yet” is a powerful growth-mindset tool. It helps learners go from “I can’t do this” to “I can’t do this, yet.” With this one word, the focus shifts from fixed inability to future potential, a concept strongly supported by growth-mindset research (Dweck, 2015). That one linguistic change can be enough to help a learner reframe challenges and persist through difficulty. As teachers, we can restate students’ frustrations with “</w:t>
      </w:r>
      <w:proofErr w:type="gramStart"/>
      <w:r w:rsidRPr="00620572">
        <w:t>yet,</w:t>
      </w:r>
      <w:proofErr w:type="gramEnd"/>
      <w:r w:rsidRPr="00620572">
        <w:t>” validating their emotions while guiding them toward a more optimistic, effort-based outlook—for example, saying, “You don’t understand it yet.” This reframing supports students in seeing improvement as possible and failures as temporary obstacles rather than permanent limitations (</w:t>
      </w:r>
      <w:proofErr w:type="spellStart"/>
      <w:r w:rsidRPr="00620572">
        <w:t>Paunesku</w:t>
      </w:r>
      <w:proofErr w:type="spellEnd"/>
      <w:r w:rsidRPr="00620572">
        <w:t xml:space="preserve"> et al., 2015).</w:t>
      </w:r>
    </w:p>
    <w:p w14:paraId="28974E54" w14:textId="77777777" w:rsidR="00620572" w:rsidRPr="00620572" w:rsidRDefault="00620572" w:rsidP="00620572">
      <w:pPr>
        <w:spacing w:after="0" w:line="240" w:lineRule="auto"/>
      </w:pPr>
    </w:p>
    <w:p w14:paraId="10922DF4" w14:textId="7D8DFB51" w:rsidR="003B5B5E" w:rsidRPr="00620572" w:rsidRDefault="003B5B5E" w:rsidP="00620572">
      <w:pPr>
        <w:spacing w:after="0" w:line="240" w:lineRule="auto"/>
      </w:pPr>
      <w:r w:rsidRPr="00620572">
        <w:t xml:space="preserve">A growth mindset, the belief that clinical abilities and professional skills can develop with effort, reflection, and deliberate practice, supports fellows in navigating the complex and high-stakes world of hematology/oncology (Yeager &amp; Dweck, 2020). It encourages persistence in mastering challenging material, viewing mistakes in patient care, case </w:t>
      </w:r>
      <w:r w:rsidRPr="00620572">
        <w:lastRenderedPageBreak/>
        <w:t>reasoning, or research as opportunities to learn rather than as failures.  In contrast, a fixed mindset can lead to shortcuts, overreliance on memorization, or reluctance to admit uncertainty, which may hinder learning and clinical growth (Anderman &amp; Won, 2019). Fellows who cultivate grit, defined as sustained passion and perseverance toward long-term goals, are more likely to persist through difficult rotations, complex cases, and research challenges, and are less likely to rely on “shortcuts” to appear competent.</w:t>
      </w:r>
    </w:p>
    <w:p w14:paraId="52F9ACED" w14:textId="28538FCE" w:rsidR="003B5B5E" w:rsidRPr="00620572" w:rsidRDefault="003B5B5E" w:rsidP="00620572">
      <w:pPr>
        <w:spacing w:after="0" w:line="240" w:lineRule="auto"/>
      </w:pPr>
      <w:r w:rsidRPr="00620572">
        <w:t>Grit and growth mindset are essential for success in fellowship. They allow fellows to embrace challenges, seek and apply feedback, and continuously improve both clinically and academically. Teaching fellows that the brain can physically grow and strengthen through deliberate practice and reflection can motivate them to engage deeply with clinical material, research protocols, and evolving treatment guidelines (Blackwell et al., 2007). Maintaining balance is critical, fostering clinical reasoning through case-based discussions, offering autonomy in patient care and research projects, providing access to resources such as updated guidelines and decision-support tools, promoting wellness, and modeling work-life balance all help fellows stay resilient and engaged. By integrating these strategies, fellowship programs can create an environment that actively reinforces a growth mindset, helping trainees become competent, reflective, and innovative hematologists and oncologists.</w:t>
      </w:r>
    </w:p>
    <w:p w14:paraId="397C5400" w14:textId="77777777" w:rsidR="007321BA" w:rsidRPr="00620572" w:rsidRDefault="007321BA" w:rsidP="00620572">
      <w:pPr>
        <w:spacing w:after="0" w:line="240" w:lineRule="auto"/>
      </w:pPr>
    </w:p>
    <w:p w14:paraId="7116AFFC" w14:textId="56340904" w:rsidR="00620572" w:rsidRDefault="00620572" w:rsidP="00620572">
      <w:pPr>
        <w:spacing w:after="0" w:line="240" w:lineRule="auto"/>
      </w:pPr>
      <w:r w:rsidRPr="00620572">
        <w:t>The relationship between grit and rigor is interdependent in a successful hematology/oncology fellowship. Rigorous training—mastering complex disease pathways, staying current with evolving guidelines, and managing high-stakes clinical decisions—requires grit, while grit enables fellows to persist through the rigor of clinical rotations, research projects, and board preparation. Growth mindset, often debated as a trend or a panacea, is neither a passing fad nor a cure-all; it is a foundational concept that, when implemented thoughtfully, can enhance both clinical learning and professional growth (Yeager &amp; Dweck, 2020). To avoid superficial adoption, it is essential that faculty and supervisors receive proper training in growth mindset principles so they can model, mentor, and guide fellows effectively.</w:t>
      </w:r>
    </w:p>
    <w:p w14:paraId="7D82F7F0" w14:textId="77777777" w:rsidR="00620572" w:rsidRPr="00620572" w:rsidRDefault="00620572" w:rsidP="00620572">
      <w:pPr>
        <w:spacing w:after="0" w:line="240" w:lineRule="auto"/>
      </w:pPr>
    </w:p>
    <w:p w14:paraId="0E6A3808" w14:textId="2E790153" w:rsidR="00620572" w:rsidRPr="00620572" w:rsidRDefault="00620572" w:rsidP="00620572">
      <w:pPr>
        <w:spacing w:after="0" w:line="240" w:lineRule="auto"/>
      </w:pPr>
      <w:r w:rsidRPr="00620572">
        <w:t>While growth mindset is a crucial foundation for resilience and lifelong learning, it is not sufficient on its own. True success in fellowship requires pairing growth mindset with strategic skills, executive function, self-regulation, and supportive learning environments (Blackwell et al., 2007). Adopting a learner-centered approach means embracing curiosity, treating clinical and research challenges as opportunities, and maintaining the belief that abilities can grow through deliberate effort. Fellows must step outside their comfort zones, actively seek feedback, reflect on clinical and research failures, and prioritize continuous learning to thrive in the ever-evolving field of hematology and oncology.</w:t>
      </w:r>
    </w:p>
    <w:p w14:paraId="2F17EFF6" w14:textId="77777777" w:rsidR="0005615F" w:rsidRPr="00620572" w:rsidRDefault="0005615F" w:rsidP="00620572">
      <w:pPr>
        <w:spacing w:after="0" w:line="240" w:lineRule="auto"/>
      </w:pPr>
    </w:p>
    <w:p w14:paraId="504043B2" w14:textId="26F3C392" w:rsidR="007321BA" w:rsidRDefault="007321BA" w:rsidP="00620572">
      <w:pPr>
        <w:spacing w:after="0" w:line="240" w:lineRule="auto"/>
      </w:pPr>
      <w:r w:rsidRPr="00620572">
        <w:t>There should be an atmosphere that supports learning, because a positive climate strongly influences student creativity, motivation, and engagement. Students need opportunities to explore and develop new ideas, and flexibility in the learning process gives them space to experiment, take intellectual risks, and test bold initiatives without fear of failure (</w:t>
      </w:r>
      <w:proofErr w:type="spellStart"/>
      <w:r w:rsidRPr="00620572">
        <w:t>Beghetto</w:t>
      </w:r>
      <w:proofErr w:type="spellEnd"/>
      <w:r w:rsidRPr="00620572">
        <w:t xml:space="preserve"> &amp; Kaufman, 2014). Without this flexibility, innovative ideas often go </w:t>
      </w:r>
      <w:r w:rsidR="00CA35D8" w:rsidRPr="00620572">
        <w:t>untested,</w:t>
      </w:r>
      <w:r w:rsidRPr="00620572">
        <w:t xml:space="preserve"> and student </w:t>
      </w:r>
      <w:r w:rsidRPr="00620572">
        <w:lastRenderedPageBreak/>
        <w:t xml:space="preserve">motivation can be diminished. For innovation to thrive, all students must feel involved and valued so their interest remains </w:t>
      </w:r>
      <w:r w:rsidR="00CA35D8" w:rsidRPr="00620572">
        <w:t>strong,</w:t>
      </w:r>
      <w:r w:rsidRPr="00620572">
        <w:t xml:space="preserve"> and their contributions stay constructive.</w:t>
      </w:r>
    </w:p>
    <w:p w14:paraId="4C71DC74" w14:textId="77777777" w:rsidR="007321BA" w:rsidRDefault="007321BA" w:rsidP="00620572">
      <w:pPr>
        <w:spacing w:after="0" w:line="240" w:lineRule="auto"/>
      </w:pPr>
      <w:r w:rsidRPr="00620572">
        <w:t>The potential of innovative students becomes most effective and efficient when the following elements are present:</w:t>
      </w:r>
    </w:p>
    <w:p w14:paraId="0C627040" w14:textId="77777777" w:rsidR="00620572" w:rsidRPr="00620572" w:rsidRDefault="00620572" w:rsidP="00620572">
      <w:pPr>
        <w:spacing w:after="0" w:line="240" w:lineRule="auto"/>
      </w:pPr>
    </w:p>
    <w:p w14:paraId="47233158" w14:textId="76CDF4A9" w:rsidR="007321BA" w:rsidRDefault="007321BA" w:rsidP="00620572">
      <w:pPr>
        <w:numPr>
          <w:ilvl w:val="0"/>
          <w:numId w:val="5"/>
        </w:numPr>
        <w:spacing w:after="0" w:line="240" w:lineRule="auto"/>
      </w:pPr>
      <w:r w:rsidRPr="00620572">
        <w:rPr>
          <w:b/>
          <w:bCs/>
        </w:rPr>
        <w:t>Creating psychologically safe environments</w:t>
      </w:r>
      <w:r w:rsidRPr="00620572">
        <w:t xml:space="preserve"> where students feel respected and free to express ideas without judgment </w:t>
      </w:r>
    </w:p>
    <w:p w14:paraId="721440F2" w14:textId="77777777" w:rsidR="00E465A7" w:rsidRPr="00620572" w:rsidRDefault="00E465A7" w:rsidP="00E465A7">
      <w:pPr>
        <w:spacing w:after="0" w:line="240" w:lineRule="auto"/>
      </w:pPr>
    </w:p>
    <w:p w14:paraId="2C28E9B1" w14:textId="77777777" w:rsidR="007321BA" w:rsidRDefault="007321BA" w:rsidP="00620572">
      <w:pPr>
        <w:numPr>
          <w:ilvl w:val="0"/>
          <w:numId w:val="5"/>
        </w:numPr>
        <w:spacing w:after="0" w:line="240" w:lineRule="auto"/>
      </w:pPr>
      <w:r w:rsidRPr="00620572">
        <w:t xml:space="preserve">Providing </w:t>
      </w:r>
      <w:r w:rsidRPr="00620572">
        <w:rPr>
          <w:b/>
          <w:bCs/>
        </w:rPr>
        <w:t>strong role models</w:t>
      </w:r>
      <w:r w:rsidRPr="00620572">
        <w:t xml:space="preserve"> who demonstrate curiosity, resilience, and creativity</w:t>
      </w:r>
    </w:p>
    <w:p w14:paraId="514409AF" w14:textId="77777777" w:rsidR="00E465A7" w:rsidRDefault="00E465A7" w:rsidP="00E465A7">
      <w:pPr>
        <w:pStyle w:val="ListParagraph"/>
      </w:pPr>
    </w:p>
    <w:p w14:paraId="3899F448" w14:textId="1120C880" w:rsidR="007321BA" w:rsidRDefault="007321BA" w:rsidP="00620572">
      <w:pPr>
        <w:numPr>
          <w:ilvl w:val="0"/>
          <w:numId w:val="5"/>
        </w:numPr>
        <w:spacing w:after="0" w:line="240" w:lineRule="auto"/>
      </w:pPr>
      <w:r w:rsidRPr="00620572">
        <w:t xml:space="preserve">Ensuring access to </w:t>
      </w:r>
      <w:r w:rsidRPr="00620572">
        <w:rPr>
          <w:b/>
          <w:bCs/>
        </w:rPr>
        <w:t>essential resources and tools</w:t>
      </w:r>
      <w:r w:rsidRPr="00620572">
        <w:t xml:space="preserve">, including relevant instructional technologies </w:t>
      </w:r>
    </w:p>
    <w:p w14:paraId="0907BFF4" w14:textId="77777777" w:rsidR="00E465A7" w:rsidRPr="00620572" w:rsidRDefault="00E465A7" w:rsidP="00E465A7">
      <w:pPr>
        <w:spacing w:after="0" w:line="240" w:lineRule="auto"/>
      </w:pPr>
    </w:p>
    <w:p w14:paraId="053D44DA" w14:textId="07A42AD5" w:rsidR="007321BA" w:rsidRDefault="007321BA" w:rsidP="00620572">
      <w:pPr>
        <w:numPr>
          <w:ilvl w:val="0"/>
          <w:numId w:val="5"/>
        </w:numPr>
        <w:spacing w:after="0" w:line="240" w:lineRule="auto"/>
      </w:pPr>
      <w:r w:rsidRPr="00620572">
        <w:rPr>
          <w:b/>
          <w:bCs/>
        </w:rPr>
        <w:t>Recognizing both small and major wins</w:t>
      </w:r>
      <w:r w:rsidRPr="00620572">
        <w:t xml:space="preserve"> throughout the innovation process, reinforcing persistence and progress </w:t>
      </w:r>
    </w:p>
    <w:p w14:paraId="41C2DB6F" w14:textId="77777777" w:rsidR="00E465A7" w:rsidRDefault="00E465A7" w:rsidP="00E465A7">
      <w:pPr>
        <w:pStyle w:val="ListParagraph"/>
      </w:pPr>
    </w:p>
    <w:p w14:paraId="1A8718BE" w14:textId="75CE0571" w:rsidR="007321BA" w:rsidRDefault="007321BA" w:rsidP="00620572">
      <w:pPr>
        <w:numPr>
          <w:ilvl w:val="0"/>
          <w:numId w:val="5"/>
        </w:numPr>
        <w:spacing w:after="0" w:line="240" w:lineRule="auto"/>
      </w:pPr>
      <w:r w:rsidRPr="00620572">
        <w:t xml:space="preserve">Showing </w:t>
      </w:r>
      <w:r w:rsidR="0033614A" w:rsidRPr="00620572">
        <w:t>students,</w:t>
      </w:r>
      <w:r w:rsidRPr="00620572">
        <w:t xml:space="preserve"> they are </w:t>
      </w:r>
      <w:r w:rsidRPr="0033614A">
        <w:rPr>
          <w:b/>
          <w:bCs/>
        </w:rPr>
        <w:t>valuable contributors</w:t>
      </w:r>
      <w:r w:rsidRPr="00620572">
        <w:t xml:space="preserve"> whose ideas truly make a difference</w:t>
      </w:r>
    </w:p>
    <w:p w14:paraId="3D7527E1" w14:textId="77777777" w:rsidR="00E465A7" w:rsidRDefault="00E465A7" w:rsidP="00E465A7">
      <w:pPr>
        <w:pStyle w:val="ListParagraph"/>
      </w:pPr>
    </w:p>
    <w:p w14:paraId="4BCCF7AE" w14:textId="2203A234" w:rsidR="007321BA" w:rsidRDefault="007321BA" w:rsidP="00620572">
      <w:pPr>
        <w:numPr>
          <w:ilvl w:val="0"/>
          <w:numId w:val="5"/>
        </w:numPr>
        <w:spacing w:after="0" w:line="240" w:lineRule="auto"/>
      </w:pPr>
      <w:r w:rsidRPr="00620572">
        <w:t xml:space="preserve">Setting </w:t>
      </w:r>
      <w:r w:rsidRPr="00620572">
        <w:rPr>
          <w:b/>
          <w:bCs/>
        </w:rPr>
        <w:t>clear goals and maintaining strong communication</w:t>
      </w:r>
      <w:r w:rsidRPr="00620572">
        <w:t xml:space="preserve">, which helps students generate ideas and reduces uncertainty </w:t>
      </w:r>
    </w:p>
    <w:p w14:paraId="4EB96C2A" w14:textId="77777777" w:rsidR="00620572" w:rsidRDefault="00620572" w:rsidP="00620572">
      <w:pPr>
        <w:pStyle w:val="NormalWeb"/>
        <w:spacing w:before="0" w:beforeAutospacing="0" w:after="0" w:afterAutospacing="0"/>
        <w:ind w:left="360"/>
        <w:rPr>
          <w:rFonts w:asciiTheme="minorHAnsi" w:hAnsiTheme="minorHAnsi"/>
        </w:rPr>
      </w:pPr>
    </w:p>
    <w:p w14:paraId="7EC71DC5" w14:textId="5287ADD1" w:rsidR="00CA35D8" w:rsidRDefault="00CA35D8" w:rsidP="00620572">
      <w:pPr>
        <w:pStyle w:val="NormalWeb"/>
        <w:spacing w:before="0" w:beforeAutospacing="0" w:after="0" w:afterAutospacing="0"/>
        <w:rPr>
          <w:rFonts w:asciiTheme="minorHAnsi" w:hAnsiTheme="minorHAnsi"/>
        </w:rPr>
      </w:pPr>
      <w:r w:rsidRPr="00620572">
        <w:rPr>
          <w:rFonts w:asciiTheme="minorHAnsi" w:hAnsiTheme="minorHAnsi"/>
        </w:rPr>
        <w:t xml:space="preserve">Finally, the </w:t>
      </w:r>
      <w:r w:rsidRPr="00620572">
        <w:rPr>
          <w:rStyle w:val="Strong"/>
          <w:rFonts w:asciiTheme="minorHAnsi" w:eastAsiaTheme="majorEastAsia" w:hAnsiTheme="minorHAnsi"/>
          <w:b w:val="0"/>
          <w:bCs w:val="0"/>
        </w:rPr>
        <w:t>flipped classroom model</w:t>
      </w:r>
      <w:r w:rsidRPr="00620572">
        <w:rPr>
          <w:rFonts w:asciiTheme="minorHAnsi" w:hAnsiTheme="minorHAnsi"/>
        </w:rPr>
        <w:t xml:space="preserve"> plays an important role in supporting innovation and technology-enhanced learning for hematology/oncology fellows. This approach allows fellows to engage with complex content, such as diagnostic algorithms, emerging therapeutics, molecular pathways, and ASCO/NCCN/ASH updates</w:t>
      </w:r>
      <w:r w:rsidR="0033614A">
        <w:rPr>
          <w:rFonts w:asciiTheme="minorHAnsi" w:hAnsiTheme="minorHAnsi"/>
        </w:rPr>
        <w:t xml:space="preserve">, </w:t>
      </w:r>
      <w:r w:rsidRPr="00620572">
        <w:rPr>
          <w:rStyle w:val="Strong"/>
          <w:rFonts w:asciiTheme="minorHAnsi" w:eastAsiaTheme="majorEastAsia" w:hAnsiTheme="minorHAnsi"/>
          <w:b w:val="0"/>
          <w:bCs w:val="0"/>
        </w:rPr>
        <w:t>actively</w:t>
      </w:r>
      <w:r w:rsidRPr="00620572">
        <w:rPr>
          <w:rStyle w:val="Strong"/>
          <w:rFonts w:asciiTheme="minorHAnsi" w:eastAsiaTheme="majorEastAsia" w:hAnsiTheme="minorHAnsi"/>
        </w:rPr>
        <w:t xml:space="preserve"> </w:t>
      </w:r>
      <w:r w:rsidRPr="00620572">
        <w:rPr>
          <w:rStyle w:val="Strong"/>
          <w:rFonts w:asciiTheme="minorHAnsi" w:eastAsiaTheme="majorEastAsia" w:hAnsiTheme="minorHAnsi"/>
          <w:b w:val="0"/>
          <w:bCs w:val="0"/>
        </w:rPr>
        <w:t>and authentically</w:t>
      </w:r>
      <w:r w:rsidRPr="00620572">
        <w:rPr>
          <w:rFonts w:asciiTheme="minorHAnsi" w:hAnsiTheme="minorHAnsi"/>
        </w:rPr>
        <w:t>, using technology in ways that mirror real-world clinical application (Bishop &amp; Verleger, 2013). Reviewing foundational material prepares fellows to spend in-person time applying knowledge to patient cases, interpreting labs and imaging, practicing clinical reasoning, and discussing management controversies</w:t>
      </w:r>
      <w:r w:rsidR="0033614A">
        <w:rPr>
          <w:rFonts w:asciiTheme="minorHAnsi" w:hAnsiTheme="minorHAnsi"/>
        </w:rPr>
        <w:t xml:space="preserve">, </w:t>
      </w:r>
      <w:r w:rsidRPr="00620572">
        <w:rPr>
          <w:rFonts w:asciiTheme="minorHAnsi" w:hAnsiTheme="minorHAnsi"/>
        </w:rPr>
        <w:t>experiences that more closely resemble the fast-paced, decision-oriented nature of oncology practice.</w:t>
      </w:r>
    </w:p>
    <w:p w14:paraId="49ED18B1" w14:textId="77777777" w:rsidR="00620572" w:rsidRPr="00620572" w:rsidRDefault="00620572" w:rsidP="00620572">
      <w:pPr>
        <w:pStyle w:val="NormalWeb"/>
        <w:spacing w:before="0" w:beforeAutospacing="0" w:after="0" w:afterAutospacing="0"/>
        <w:rPr>
          <w:rFonts w:asciiTheme="minorHAnsi" w:hAnsiTheme="minorHAnsi"/>
        </w:rPr>
      </w:pPr>
    </w:p>
    <w:p w14:paraId="37CE0B19" w14:textId="77777777" w:rsidR="00CA35D8" w:rsidRPr="00620572" w:rsidRDefault="00CA35D8" w:rsidP="00620572">
      <w:pPr>
        <w:pStyle w:val="NormalWeb"/>
        <w:spacing w:before="0" w:beforeAutospacing="0" w:after="0" w:afterAutospacing="0"/>
        <w:rPr>
          <w:rFonts w:asciiTheme="minorHAnsi" w:hAnsiTheme="minorHAnsi"/>
        </w:rPr>
      </w:pPr>
      <w:r w:rsidRPr="00620572">
        <w:rPr>
          <w:rFonts w:asciiTheme="minorHAnsi" w:hAnsiTheme="minorHAnsi"/>
        </w:rPr>
        <w:t xml:space="preserve">My mission is to create </w:t>
      </w:r>
      <w:r w:rsidRPr="00620572">
        <w:rPr>
          <w:rStyle w:val="Strong"/>
          <w:rFonts w:asciiTheme="minorHAnsi" w:eastAsiaTheme="majorEastAsia" w:hAnsiTheme="minorHAnsi"/>
          <w:b w:val="0"/>
          <w:bCs w:val="0"/>
        </w:rPr>
        <w:t>positive, meaningful learning experiences</w:t>
      </w:r>
      <w:r w:rsidRPr="00620572">
        <w:rPr>
          <w:rFonts w:asciiTheme="minorHAnsi" w:hAnsiTheme="minorHAnsi"/>
        </w:rPr>
        <w:t xml:space="preserve"> that support fellows’ growth as clinicians, scholars, and future leaders in oncology. By staying current with educational innovations, incorporating high-yield and evidence-based strategies, and continuously refining my innovation plan, I aim to maintain a dynamic and learner-centered environment that promotes mastery, curiosity, and reflective practice. Ultimately, the goal is to help fellows feel confident, supported, and empowered as they navigate the rapidly evolving landscape of hematology and oncology.</w:t>
      </w:r>
    </w:p>
    <w:p w14:paraId="6DCEFC0D" w14:textId="77777777" w:rsidR="00CA35D8" w:rsidRPr="007321BA" w:rsidRDefault="00CA35D8" w:rsidP="00CA35D8">
      <w:pPr>
        <w:rPr>
          <w:highlight w:val="yellow"/>
        </w:rPr>
      </w:pPr>
    </w:p>
    <w:p w14:paraId="217F8F63" w14:textId="77777777" w:rsidR="007321BA" w:rsidRDefault="007321BA" w:rsidP="007321BA"/>
    <w:p w14:paraId="7FF132D8" w14:textId="376B903C" w:rsidR="00965518" w:rsidRDefault="005C3882" w:rsidP="005C3882">
      <w:r w:rsidRPr="00E465A7">
        <w:rPr>
          <w:b/>
          <w:bCs/>
        </w:rPr>
        <w:lastRenderedPageBreak/>
        <w:t>REFERENCES</w:t>
      </w:r>
      <w:r>
        <w:t xml:space="preserve">: </w:t>
      </w:r>
    </w:p>
    <w:p w14:paraId="2300E61D" w14:textId="77777777" w:rsidR="00113468" w:rsidRDefault="00113468" w:rsidP="005C3882"/>
    <w:p w14:paraId="046F6889" w14:textId="77777777" w:rsidR="00113468" w:rsidRDefault="00113468" w:rsidP="00113468">
      <w:pPr>
        <w:ind w:left="720" w:hanging="720"/>
      </w:pPr>
      <w:r w:rsidRPr="00E465A7">
        <w:t xml:space="preserve">Anderman, E. M., &amp; Won, S. (2019). Academic cheating in disliked and favorite school subjects: Relations with epistemic beliefs, goal orientations, and self-efficacy. </w:t>
      </w:r>
      <w:r w:rsidRPr="00E465A7">
        <w:rPr>
          <w:i/>
          <w:iCs/>
        </w:rPr>
        <w:t>Journal of Experimental Education</w:t>
      </w:r>
      <w:r w:rsidRPr="00E465A7">
        <w:t>, 87(3), 449–465.</w:t>
      </w:r>
    </w:p>
    <w:p w14:paraId="682339DC" w14:textId="77777777" w:rsidR="00113468" w:rsidRPr="00E465A7" w:rsidRDefault="00113468" w:rsidP="00113468">
      <w:pPr>
        <w:ind w:left="720" w:hanging="720"/>
      </w:pPr>
      <w:r w:rsidRPr="00E465A7">
        <w:rPr>
          <w:lang w:val="de-DE"/>
        </w:rPr>
        <w:t xml:space="preserve">Beghetto, R. A., &amp; Kaufman, J. C. (2014). </w:t>
      </w:r>
      <w:r w:rsidRPr="00E465A7">
        <w:t xml:space="preserve">Classroom contexts for creativity. </w:t>
      </w:r>
      <w:r w:rsidRPr="00E465A7">
        <w:rPr>
          <w:i/>
          <w:iCs/>
        </w:rPr>
        <w:t>High Ability Studies</w:t>
      </w:r>
      <w:r w:rsidRPr="00E465A7">
        <w:t>, 25(1), 53–69.</w:t>
      </w:r>
    </w:p>
    <w:p w14:paraId="2A6FA496" w14:textId="77777777" w:rsidR="00113468" w:rsidRPr="00E465A7" w:rsidRDefault="00113468" w:rsidP="00113468">
      <w:pPr>
        <w:ind w:left="720" w:hanging="720"/>
      </w:pPr>
      <w:r w:rsidRPr="00E465A7">
        <w:rPr>
          <w:lang w:val="de-DE"/>
        </w:rPr>
        <w:t xml:space="preserve">Bishop, J. L., &amp; Verleger, M. A. (2013). </w:t>
      </w:r>
      <w:r w:rsidRPr="00E465A7">
        <w:t xml:space="preserve">The flipped classroom: A survey of the research. </w:t>
      </w:r>
      <w:r w:rsidRPr="00E465A7">
        <w:rPr>
          <w:i/>
          <w:iCs/>
        </w:rPr>
        <w:t>ASEE National Conference Proceedings</w:t>
      </w:r>
      <w:r w:rsidRPr="00E465A7">
        <w:t>, 1–18.</w:t>
      </w:r>
    </w:p>
    <w:p w14:paraId="1809C50B" w14:textId="77777777" w:rsidR="00113468" w:rsidRPr="00E465A7" w:rsidRDefault="00113468" w:rsidP="00113468">
      <w:pPr>
        <w:ind w:left="720" w:hanging="720"/>
      </w:pPr>
      <w:r w:rsidRPr="00E465A7">
        <w:t xml:space="preserve">Blackwell, L. S., </w:t>
      </w:r>
      <w:proofErr w:type="spellStart"/>
      <w:r w:rsidRPr="00E465A7">
        <w:t>Trzesniewski</w:t>
      </w:r>
      <w:proofErr w:type="spellEnd"/>
      <w:r w:rsidRPr="00E465A7">
        <w:t xml:space="preserve">, K. H., &amp; Dweck, C. S. (2007). Implicit theories of intelligence predict achievement across an adolescent transition: A longitudinal study and an intervention. </w:t>
      </w:r>
      <w:r w:rsidRPr="00E465A7">
        <w:rPr>
          <w:i/>
          <w:iCs/>
        </w:rPr>
        <w:t>Child Development</w:t>
      </w:r>
      <w:r w:rsidRPr="00E465A7">
        <w:t>, 78(1), 246–263.</w:t>
      </w:r>
    </w:p>
    <w:p w14:paraId="45951EFB" w14:textId="0D8D6D82" w:rsidR="005C3882" w:rsidRPr="00E465A7" w:rsidRDefault="005C3882" w:rsidP="00E465A7">
      <w:pPr>
        <w:ind w:left="720" w:hanging="720"/>
      </w:pPr>
      <w:r w:rsidRPr="00E465A7">
        <w:t xml:space="preserve">Dweck, C. S. (2015). </w:t>
      </w:r>
      <w:r w:rsidRPr="00E465A7">
        <w:rPr>
          <w:i/>
          <w:iCs/>
        </w:rPr>
        <w:t>Growth mindset interventions and student achievement: A review.</w:t>
      </w:r>
      <w:r w:rsidRPr="00E465A7">
        <w:t xml:space="preserve"> Oxford University Press.</w:t>
      </w:r>
    </w:p>
    <w:p w14:paraId="04D259F4" w14:textId="33520FD0" w:rsidR="005C3882" w:rsidRPr="00E465A7" w:rsidRDefault="005C3882" w:rsidP="00E465A7">
      <w:pPr>
        <w:ind w:left="720" w:hanging="720"/>
      </w:pPr>
      <w:proofErr w:type="spellStart"/>
      <w:r w:rsidRPr="00E465A7">
        <w:t>Paunesku</w:t>
      </w:r>
      <w:proofErr w:type="spellEnd"/>
      <w:r w:rsidRPr="00E465A7">
        <w:t xml:space="preserve">, D., Walton, G. M., Romero, C., Smith, E. N., Yeager, D. S., &amp; Dweck, C. S. (2015). Mind-set interventions are a scalable treatment for academic underachievement. </w:t>
      </w:r>
      <w:r w:rsidRPr="00E465A7">
        <w:rPr>
          <w:i/>
          <w:iCs/>
        </w:rPr>
        <w:t>Psychological Science</w:t>
      </w:r>
      <w:r w:rsidRPr="00E465A7">
        <w:t>, 26(6), 784–793.</w:t>
      </w:r>
    </w:p>
    <w:p w14:paraId="5882AFB8" w14:textId="4CD4F571" w:rsidR="00E465A7" w:rsidRPr="00E465A7" w:rsidRDefault="00E465A7" w:rsidP="00E465A7">
      <w:pPr>
        <w:ind w:left="720" w:hanging="720"/>
      </w:pPr>
      <w:r w:rsidRPr="00E465A7">
        <w:t xml:space="preserve">Yeager, D. S., &amp; Dweck, C. S. (2020). What can be learned from growth mindset controversies? </w:t>
      </w:r>
      <w:r w:rsidRPr="00E465A7">
        <w:rPr>
          <w:i/>
          <w:iCs/>
        </w:rPr>
        <w:t>American Psychologist</w:t>
      </w:r>
      <w:r w:rsidRPr="00E465A7">
        <w:t>, 75(9), 1269–1284.</w:t>
      </w:r>
    </w:p>
    <w:sectPr w:rsidR="00E465A7" w:rsidRPr="00E4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B5F"/>
    <w:multiLevelType w:val="hybridMultilevel"/>
    <w:tmpl w:val="E35A7B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D7AE3"/>
    <w:multiLevelType w:val="hybridMultilevel"/>
    <w:tmpl w:val="38CA2508"/>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27986"/>
    <w:multiLevelType w:val="hybridMultilevel"/>
    <w:tmpl w:val="0AD2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A1CCB"/>
    <w:multiLevelType w:val="multilevel"/>
    <w:tmpl w:val="BFB8A43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13687A"/>
    <w:multiLevelType w:val="multilevel"/>
    <w:tmpl w:val="C8D6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854246">
    <w:abstractNumId w:val="2"/>
  </w:num>
  <w:num w:numId="2" w16cid:durableId="550503855">
    <w:abstractNumId w:val="4"/>
  </w:num>
  <w:num w:numId="3" w16cid:durableId="374473103">
    <w:abstractNumId w:val="0"/>
  </w:num>
  <w:num w:numId="4" w16cid:durableId="690422403">
    <w:abstractNumId w:val="1"/>
  </w:num>
  <w:num w:numId="5" w16cid:durableId="1290042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ED"/>
    <w:rsid w:val="00011430"/>
    <w:rsid w:val="0005615F"/>
    <w:rsid w:val="00113468"/>
    <w:rsid w:val="00121019"/>
    <w:rsid w:val="001E58C6"/>
    <w:rsid w:val="002135D2"/>
    <w:rsid w:val="00280214"/>
    <w:rsid w:val="0033614A"/>
    <w:rsid w:val="00362E64"/>
    <w:rsid w:val="003B5B5E"/>
    <w:rsid w:val="005454FC"/>
    <w:rsid w:val="005C3882"/>
    <w:rsid w:val="005E0449"/>
    <w:rsid w:val="00603331"/>
    <w:rsid w:val="00620572"/>
    <w:rsid w:val="0063156C"/>
    <w:rsid w:val="007321BA"/>
    <w:rsid w:val="0073553A"/>
    <w:rsid w:val="0076663F"/>
    <w:rsid w:val="008562B1"/>
    <w:rsid w:val="00882075"/>
    <w:rsid w:val="009107D4"/>
    <w:rsid w:val="00965518"/>
    <w:rsid w:val="009776D0"/>
    <w:rsid w:val="009B57BB"/>
    <w:rsid w:val="00A44CC3"/>
    <w:rsid w:val="00A50EDF"/>
    <w:rsid w:val="00A83D2C"/>
    <w:rsid w:val="00B625A3"/>
    <w:rsid w:val="00CA35D8"/>
    <w:rsid w:val="00DC791A"/>
    <w:rsid w:val="00E465A7"/>
    <w:rsid w:val="00E51697"/>
    <w:rsid w:val="00EC60EC"/>
    <w:rsid w:val="00F870ED"/>
    <w:rsid w:val="00FE34B5"/>
    <w:rsid w:val="00FE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508B"/>
  <w15:chartTrackingRefBased/>
  <w15:docId w15:val="{732342A9-7BE1-4F31-AEA3-F4945E12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0ED"/>
    <w:rPr>
      <w:rFonts w:eastAsiaTheme="majorEastAsia" w:cstheme="majorBidi"/>
      <w:color w:val="272727" w:themeColor="text1" w:themeTint="D8"/>
    </w:rPr>
  </w:style>
  <w:style w:type="paragraph" w:styleId="Title">
    <w:name w:val="Title"/>
    <w:basedOn w:val="Normal"/>
    <w:next w:val="Normal"/>
    <w:link w:val="TitleChar"/>
    <w:uiPriority w:val="10"/>
    <w:qFormat/>
    <w:rsid w:val="00F8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0ED"/>
    <w:pPr>
      <w:spacing w:before="160"/>
      <w:jc w:val="center"/>
    </w:pPr>
    <w:rPr>
      <w:i/>
      <w:iCs/>
      <w:color w:val="404040" w:themeColor="text1" w:themeTint="BF"/>
    </w:rPr>
  </w:style>
  <w:style w:type="character" w:customStyle="1" w:styleId="QuoteChar">
    <w:name w:val="Quote Char"/>
    <w:basedOn w:val="DefaultParagraphFont"/>
    <w:link w:val="Quote"/>
    <w:uiPriority w:val="29"/>
    <w:rsid w:val="00F870ED"/>
    <w:rPr>
      <w:i/>
      <w:iCs/>
      <w:color w:val="404040" w:themeColor="text1" w:themeTint="BF"/>
    </w:rPr>
  </w:style>
  <w:style w:type="paragraph" w:styleId="ListParagraph">
    <w:name w:val="List Paragraph"/>
    <w:basedOn w:val="Normal"/>
    <w:uiPriority w:val="34"/>
    <w:qFormat/>
    <w:rsid w:val="00F870ED"/>
    <w:pPr>
      <w:ind w:left="720"/>
      <w:contextualSpacing/>
    </w:pPr>
  </w:style>
  <w:style w:type="character" w:styleId="IntenseEmphasis">
    <w:name w:val="Intense Emphasis"/>
    <w:basedOn w:val="DefaultParagraphFont"/>
    <w:uiPriority w:val="21"/>
    <w:qFormat/>
    <w:rsid w:val="00F870ED"/>
    <w:rPr>
      <w:i/>
      <w:iCs/>
      <w:color w:val="0F4761" w:themeColor="accent1" w:themeShade="BF"/>
    </w:rPr>
  </w:style>
  <w:style w:type="paragraph" w:styleId="IntenseQuote">
    <w:name w:val="Intense Quote"/>
    <w:basedOn w:val="Normal"/>
    <w:next w:val="Normal"/>
    <w:link w:val="IntenseQuoteChar"/>
    <w:uiPriority w:val="30"/>
    <w:qFormat/>
    <w:rsid w:val="00F8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0ED"/>
    <w:rPr>
      <w:i/>
      <w:iCs/>
      <w:color w:val="0F4761" w:themeColor="accent1" w:themeShade="BF"/>
    </w:rPr>
  </w:style>
  <w:style w:type="character" w:styleId="IntenseReference">
    <w:name w:val="Intense Reference"/>
    <w:basedOn w:val="DefaultParagraphFont"/>
    <w:uiPriority w:val="32"/>
    <w:qFormat/>
    <w:rsid w:val="00F870ED"/>
    <w:rPr>
      <w:b/>
      <w:bCs/>
      <w:smallCaps/>
      <w:color w:val="0F4761" w:themeColor="accent1" w:themeShade="BF"/>
      <w:spacing w:val="5"/>
    </w:rPr>
  </w:style>
  <w:style w:type="paragraph" w:styleId="NormalWeb">
    <w:name w:val="Normal (Web)"/>
    <w:basedOn w:val="Normal"/>
    <w:uiPriority w:val="99"/>
    <w:semiHidden/>
    <w:unhideWhenUsed/>
    <w:rsid w:val="00CA35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3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645">
      <w:bodyDiv w:val="1"/>
      <w:marLeft w:val="0"/>
      <w:marRight w:val="0"/>
      <w:marTop w:val="0"/>
      <w:marBottom w:val="0"/>
      <w:divBdr>
        <w:top w:val="none" w:sz="0" w:space="0" w:color="auto"/>
        <w:left w:val="none" w:sz="0" w:space="0" w:color="auto"/>
        <w:bottom w:val="none" w:sz="0" w:space="0" w:color="auto"/>
        <w:right w:val="none" w:sz="0" w:space="0" w:color="auto"/>
      </w:divBdr>
    </w:div>
    <w:div w:id="37168388">
      <w:bodyDiv w:val="1"/>
      <w:marLeft w:val="0"/>
      <w:marRight w:val="0"/>
      <w:marTop w:val="0"/>
      <w:marBottom w:val="0"/>
      <w:divBdr>
        <w:top w:val="none" w:sz="0" w:space="0" w:color="auto"/>
        <w:left w:val="none" w:sz="0" w:space="0" w:color="auto"/>
        <w:bottom w:val="none" w:sz="0" w:space="0" w:color="auto"/>
        <w:right w:val="none" w:sz="0" w:space="0" w:color="auto"/>
      </w:divBdr>
    </w:div>
    <w:div w:id="93979660">
      <w:bodyDiv w:val="1"/>
      <w:marLeft w:val="0"/>
      <w:marRight w:val="0"/>
      <w:marTop w:val="0"/>
      <w:marBottom w:val="0"/>
      <w:divBdr>
        <w:top w:val="none" w:sz="0" w:space="0" w:color="auto"/>
        <w:left w:val="none" w:sz="0" w:space="0" w:color="auto"/>
        <w:bottom w:val="none" w:sz="0" w:space="0" w:color="auto"/>
        <w:right w:val="none" w:sz="0" w:space="0" w:color="auto"/>
      </w:divBdr>
    </w:div>
    <w:div w:id="235821432">
      <w:bodyDiv w:val="1"/>
      <w:marLeft w:val="0"/>
      <w:marRight w:val="0"/>
      <w:marTop w:val="0"/>
      <w:marBottom w:val="0"/>
      <w:divBdr>
        <w:top w:val="none" w:sz="0" w:space="0" w:color="auto"/>
        <w:left w:val="none" w:sz="0" w:space="0" w:color="auto"/>
        <w:bottom w:val="none" w:sz="0" w:space="0" w:color="auto"/>
        <w:right w:val="none" w:sz="0" w:space="0" w:color="auto"/>
      </w:divBdr>
    </w:div>
    <w:div w:id="490143854">
      <w:bodyDiv w:val="1"/>
      <w:marLeft w:val="0"/>
      <w:marRight w:val="0"/>
      <w:marTop w:val="0"/>
      <w:marBottom w:val="0"/>
      <w:divBdr>
        <w:top w:val="none" w:sz="0" w:space="0" w:color="auto"/>
        <w:left w:val="none" w:sz="0" w:space="0" w:color="auto"/>
        <w:bottom w:val="none" w:sz="0" w:space="0" w:color="auto"/>
        <w:right w:val="none" w:sz="0" w:space="0" w:color="auto"/>
      </w:divBdr>
    </w:div>
    <w:div w:id="664632158">
      <w:bodyDiv w:val="1"/>
      <w:marLeft w:val="0"/>
      <w:marRight w:val="0"/>
      <w:marTop w:val="0"/>
      <w:marBottom w:val="0"/>
      <w:divBdr>
        <w:top w:val="none" w:sz="0" w:space="0" w:color="auto"/>
        <w:left w:val="none" w:sz="0" w:space="0" w:color="auto"/>
        <w:bottom w:val="none" w:sz="0" w:space="0" w:color="auto"/>
        <w:right w:val="none" w:sz="0" w:space="0" w:color="auto"/>
      </w:divBdr>
    </w:div>
    <w:div w:id="683090036">
      <w:bodyDiv w:val="1"/>
      <w:marLeft w:val="0"/>
      <w:marRight w:val="0"/>
      <w:marTop w:val="0"/>
      <w:marBottom w:val="0"/>
      <w:divBdr>
        <w:top w:val="none" w:sz="0" w:space="0" w:color="auto"/>
        <w:left w:val="none" w:sz="0" w:space="0" w:color="auto"/>
        <w:bottom w:val="none" w:sz="0" w:space="0" w:color="auto"/>
        <w:right w:val="none" w:sz="0" w:space="0" w:color="auto"/>
      </w:divBdr>
    </w:div>
    <w:div w:id="887377168">
      <w:bodyDiv w:val="1"/>
      <w:marLeft w:val="0"/>
      <w:marRight w:val="0"/>
      <w:marTop w:val="0"/>
      <w:marBottom w:val="0"/>
      <w:divBdr>
        <w:top w:val="none" w:sz="0" w:space="0" w:color="auto"/>
        <w:left w:val="none" w:sz="0" w:space="0" w:color="auto"/>
        <w:bottom w:val="none" w:sz="0" w:space="0" w:color="auto"/>
        <w:right w:val="none" w:sz="0" w:space="0" w:color="auto"/>
      </w:divBdr>
    </w:div>
    <w:div w:id="983045371">
      <w:bodyDiv w:val="1"/>
      <w:marLeft w:val="0"/>
      <w:marRight w:val="0"/>
      <w:marTop w:val="0"/>
      <w:marBottom w:val="0"/>
      <w:divBdr>
        <w:top w:val="none" w:sz="0" w:space="0" w:color="auto"/>
        <w:left w:val="none" w:sz="0" w:space="0" w:color="auto"/>
        <w:bottom w:val="none" w:sz="0" w:space="0" w:color="auto"/>
        <w:right w:val="none" w:sz="0" w:space="0" w:color="auto"/>
      </w:divBdr>
    </w:div>
    <w:div w:id="1026444832">
      <w:bodyDiv w:val="1"/>
      <w:marLeft w:val="0"/>
      <w:marRight w:val="0"/>
      <w:marTop w:val="0"/>
      <w:marBottom w:val="0"/>
      <w:divBdr>
        <w:top w:val="none" w:sz="0" w:space="0" w:color="auto"/>
        <w:left w:val="none" w:sz="0" w:space="0" w:color="auto"/>
        <w:bottom w:val="none" w:sz="0" w:space="0" w:color="auto"/>
        <w:right w:val="none" w:sz="0" w:space="0" w:color="auto"/>
      </w:divBdr>
    </w:div>
    <w:div w:id="1175731901">
      <w:bodyDiv w:val="1"/>
      <w:marLeft w:val="0"/>
      <w:marRight w:val="0"/>
      <w:marTop w:val="0"/>
      <w:marBottom w:val="0"/>
      <w:divBdr>
        <w:top w:val="none" w:sz="0" w:space="0" w:color="auto"/>
        <w:left w:val="none" w:sz="0" w:space="0" w:color="auto"/>
        <w:bottom w:val="none" w:sz="0" w:space="0" w:color="auto"/>
        <w:right w:val="none" w:sz="0" w:space="0" w:color="auto"/>
      </w:divBdr>
    </w:div>
    <w:div w:id="1366443909">
      <w:bodyDiv w:val="1"/>
      <w:marLeft w:val="0"/>
      <w:marRight w:val="0"/>
      <w:marTop w:val="0"/>
      <w:marBottom w:val="0"/>
      <w:divBdr>
        <w:top w:val="none" w:sz="0" w:space="0" w:color="auto"/>
        <w:left w:val="none" w:sz="0" w:space="0" w:color="auto"/>
        <w:bottom w:val="none" w:sz="0" w:space="0" w:color="auto"/>
        <w:right w:val="none" w:sz="0" w:space="0" w:color="auto"/>
      </w:divBdr>
    </w:div>
    <w:div w:id="1445032028">
      <w:bodyDiv w:val="1"/>
      <w:marLeft w:val="0"/>
      <w:marRight w:val="0"/>
      <w:marTop w:val="0"/>
      <w:marBottom w:val="0"/>
      <w:divBdr>
        <w:top w:val="none" w:sz="0" w:space="0" w:color="auto"/>
        <w:left w:val="none" w:sz="0" w:space="0" w:color="auto"/>
        <w:bottom w:val="none" w:sz="0" w:space="0" w:color="auto"/>
        <w:right w:val="none" w:sz="0" w:space="0" w:color="auto"/>
      </w:divBdr>
    </w:div>
    <w:div w:id="1795096802">
      <w:bodyDiv w:val="1"/>
      <w:marLeft w:val="0"/>
      <w:marRight w:val="0"/>
      <w:marTop w:val="0"/>
      <w:marBottom w:val="0"/>
      <w:divBdr>
        <w:top w:val="none" w:sz="0" w:space="0" w:color="auto"/>
        <w:left w:val="none" w:sz="0" w:space="0" w:color="auto"/>
        <w:bottom w:val="none" w:sz="0" w:space="0" w:color="auto"/>
        <w:right w:val="none" w:sz="0" w:space="0" w:color="auto"/>
      </w:divBdr>
    </w:div>
    <w:div w:id="19852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20</cp:revision>
  <dcterms:created xsi:type="dcterms:W3CDTF">2025-12-06T19:28:00Z</dcterms:created>
  <dcterms:modified xsi:type="dcterms:W3CDTF">2025-12-07T02:23:00Z</dcterms:modified>
</cp:coreProperties>
</file>